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57" w:rsidRPr="007F6357" w:rsidRDefault="007F6357" w:rsidP="007F6357">
      <w:pPr>
        <w:rPr>
          <w:rFonts w:ascii="Vodafone Rg" w:hAnsi="Vodafone Rg"/>
          <w:b/>
          <w:color w:val="FF0000"/>
        </w:rPr>
      </w:pPr>
      <w:r w:rsidRPr="007F6357">
        <w:rPr>
          <w:rFonts w:ascii="Vodafone Rg" w:hAnsi="Vodafone Rg"/>
          <w:b/>
          <w:color w:val="FF0000"/>
        </w:rPr>
        <w:t>3+12 Limitsiz Kampanya Esasları</w:t>
      </w:r>
    </w:p>
    <w:p w:rsidR="00F012F8" w:rsidRDefault="00A65013" w:rsidP="00CE07BC">
      <w:pPr>
        <w:jc w:val="center"/>
        <w:rPr>
          <w:rFonts w:ascii="Vodafone Rg" w:hAnsi="Vodafone Rg"/>
        </w:rPr>
      </w:pPr>
      <w:r w:rsidRPr="00A65013">
        <w:drawing>
          <wp:inline distT="0" distB="0" distL="0" distR="0">
            <wp:extent cx="5211445" cy="56007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1445" cy="560070"/>
                    </a:xfrm>
                    <a:prstGeom prst="rect">
                      <a:avLst/>
                    </a:prstGeom>
                    <a:noFill/>
                    <a:ln>
                      <a:noFill/>
                    </a:ln>
                  </pic:spPr>
                </pic:pic>
              </a:graphicData>
            </a:graphic>
          </wp:inline>
        </w:drawing>
      </w:r>
      <w:bookmarkStart w:id="0" w:name="_GoBack"/>
      <w:bookmarkEnd w:id="0"/>
    </w:p>
    <w:p w:rsidR="007F6357" w:rsidRPr="007F6357" w:rsidRDefault="007F6357" w:rsidP="007F6357">
      <w:pPr>
        <w:pStyle w:val="ListParagraph"/>
        <w:numPr>
          <w:ilvl w:val="0"/>
          <w:numId w:val="1"/>
        </w:numPr>
        <w:rPr>
          <w:rFonts w:ascii="Vodafone Rg" w:hAnsi="Vodafone Rg"/>
        </w:rPr>
      </w:pPr>
      <w:r>
        <w:t>Kampanya 3</w:t>
      </w:r>
      <w:r>
        <w:t xml:space="preserve"> aylık</w:t>
      </w:r>
      <w:r>
        <w:t xml:space="preserve"> ve 12 aylık olmak üzere "iki dönem"den oluşur. İlk 3</w:t>
      </w:r>
      <w:r>
        <w:t xml:space="preserve">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 </w:t>
      </w:r>
    </w:p>
    <w:p w:rsidR="007F6357" w:rsidRPr="007F6357" w:rsidRDefault="007F6357" w:rsidP="007F6357">
      <w:pPr>
        <w:pStyle w:val="ListParagraph"/>
        <w:numPr>
          <w:ilvl w:val="0"/>
          <w:numId w:val="1"/>
        </w:numPr>
        <w:rPr>
          <w:rFonts w:ascii="Vodafone Rg" w:hAnsi="Vodafone Rg"/>
        </w:rPr>
      </w:pPr>
      <w:r>
        <w:t xml:space="preserve">Ay ile kastedilen fatura dönemidir. </w:t>
      </w:r>
    </w:p>
    <w:p w:rsidR="007F6357" w:rsidRPr="007F6357" w:rsidRDefault="007F6357" w:rsidP="007F6357">
      <w:pPr>
        <w:pStyle w:val="ListParagraph"/>
        <w:numPr>
          <w:ilvl w:val="0"/>
          <w:numId w:val="1"/>
        </w:numPr>
        <w:rPr>
          <w:rFonts w:ascii="Vodafone Rg" w:hAnsi="Vodafone Rg"/>
        </w:rPr>
      </w:pPr>
      <w:r>
        <w:t>Kam</w:t>
      </w:r>
      <w:r>
        <w:t>panyaya dahil olan müşteriler 3</w:t>
      </w:r>
      <w:r>
        <w:t>+12 ay t</w:t>
      </w:r>
      <w:r>
        <w:t>aahhüt vermeleri karşılığında 3</w:t>
      </w:r>
      <w:r>
        <w:t xml:space="preserve"> aylık ilk kampanya döneminde tarife kapsamındaki tarifelerin aylık standart ücreti üzerinden KDV ve OIV dahil tablodaki tutarlarda indirim alırlar. </w:t>
      </w:r>
    </w:p>
    <w:p w:rsidR="007F6357" w:rsidRPr="007F6357" w:rsidRDefault="007F6357" w:rsidP="007F6357">
      <w:pPr>
        <w:pStyle w:val="ListParagraph"/>
        <w:numPr>
          <w:ilvl w:val="0"/>
          <w:numId w:val="1"/>
        </w:numPr>
        <w:rPr>
          <w:rFonts w:ascii="Vodafone Rg" w:hAnsi="Vodafone Rg"/>
        </w:rPr>
      </w:pPr>
      <w:r>
        <w:t xml:space="preserve">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 </w:t>
      </w:r>
    </w:p>
    <w:p w:rsidR="007F6357" w:rsidRPr="007F6357" w:rsidRDefault="007F6357" w:rsidP="007F6357">
      <w:pPr>
        <w:pStyle w:val="ListParagraph"/>
        <w:numPr>
          <w:ilvl w:val="0"/>
          <w:numId w:val="1"/>
        </w:numPr>
        <w:rPr>
          <w:rFonts w:ascii="Vodafone Rg" w:hAnsi="Vodafone Rg"/>
        </w:rPr>
      </w:pPr>
      <w:r>
        <w:t xml:space="preserve">Kampanyada cayma bedeli her dönem için aşağıda ifade edildiği şekilde hesaplanır. İlk dönem için sağlanan fayda ve </w:t>
      </w:r>
      <w:r>
        <w:t>ödenmesi taahhüt edilen tutar 3</w:t>
      </w:r>
      <w:r>
        <w:t xml:space="preserve"> aylık süreç esas alınarak, ikinci dönem için ise 12.fatura döneminden sonraki dönemlere bakılarak aboneye sağlanan fayda ve ödemesi taahhüt edilen tutar esas alınarak hesaplanır. </w:t>
      </w:r>
    </w:p>
    <w:p w:rsidR="007F6357" w:rsidRPr="007F6357" w:rsidRDefault="007F6357" w:rsidP="007F6357">
      <w:pPr>
        <w:pStyle w:val="ListParagraph"/>
        <w:numPr>
          <w:ilvl w:val="0"/>
          <w:numId w:val="1"/>
        </w:numPr>
        <w:rPr>
          <w:rFonts w:ascii="Vodafone Rg" w:hAnsi="Vodafone Rg"/>
        </w:rPr>
      </w:pPr>
      <w:r>
        <w:t xml:space="preserve">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 </w:t>
      </w:r>
    </w:p>
    <w:p w:rsidR="007F6357" w:rsidRPr="007F6357" w:rsidRDefault="007F6357" w:rsidP="007F6357">
      <w:pPr>
        <w:pStyle w:val="ListParagraph"/>
        <w:numPr>
          <w:ilvl w:val="0"/>
          <w:numId w:val="1"/>
        </w:numPr>
        <w:rPr>
          <w:rFonts w:ascii="Vodafone Rg" w:hAnsi="Vodafone Rg"/>
        </w:rPr>
      </w:pPr>
      <w:r>
        <w:t>Kampanyaya dahil olan abonelerin 4.5G</w:t>
      </w:r>
      <w:r>
        <w:t xml:space="preserve"> ve 5G</w:t>
      </w:r>
      <w:r>
        <w:t xml:space="preserve"> servisi açılır. </w:t>
      </w:r>
    </w:p>
    <w:p w:rsidR="007F6357" w:rsidRPr="007F6357" w:rsidRDefault="007F6357" w:rsidP="007F6357">
      <w:pPr>
        <w:pStyle w:val="ListParagraph"/>
        <w:numPr>
          <w:ilvl w:val="0"/>
          <w:numId w:val="1"/>
        </w:numPr>
        <w:rPr>
          <w:rFonts w:ascii="Vodafone Rg" w:hAnsi="Vodafone Rg"/>
        </w:rPr>
      </w:pPr>
      <w:r>
        <w:t xml:space="preserve">30 gün içerisinde 1 defa tarife değişikliği yapılabilir. Yeni müşteriler için ilk tarife değişikliği 30 gün sonrasında yapılabilir. </w:t>
      </w:r>
    </w:p>
    <w:p w:rsidR="007F6357" w:rsidRPr="007F6357" w:rsidRDefault="007F6357" w:rsidP="007F6357">
      <w:pPr>
        <w:pStyle w:val="ListParagraph"/>
        <w:numPr>
          <w:ilvl w:val="0"/>
          <w:numId w:val="1"/>
        </w:numPr>
        <w:rPr>
          <w:rFonts w:ascii="Vodafone Rg" w:hAnsi="Vodafone Rg"/>
        </w:rPr>
      </w:pPr>
      <w:r>
        <w:t xml:space="preserve">Kampanyaya katılım anlık olur. Sadece abone kampanya için uygun tarifede değil iken kampanya için uygun olan bir tarifeye ileri tarihli geçiş talebi varsa kampanyaya ileri tarihli olarak/bir sonraki fatura dönemi ile giriş yapar. </w:t>
      </w:r>
    </w:p>
    <w:p w:rsidR="007F6357" w:rsidRPr="007F6357" w:rsidRDefault="007F6357" w:rsidP="007F6357">
      <w:pPr>
        <w:pStyle w:val="ListParagraph"/>
        <w:numPr>
          <w:ilvl w:val="0"/>
          <w:numId w:val="1"/>
        </w:numPr>
        <w:rPr>
          <w:rFonts w:ascii="Vodafone Rg" w:hAnsi="Vodafone Rg"/>
        </w:rPr>
      </w:pPr>
      <w:r>
        <w:t>Kampanya çıkışları anlık olur ve çıkış yapılan fatura döneminde verilen indirim dışındaki faydalar çıkış işleminden sonraki ilk fatura dönemine kadar sür</w:t>
      </w:r>
      <w:r>
        <w:t>er. İndirim ise kampanyadanın 3</w:t>
      </w:r>
      <w:r>
        <w:t xml:space="preserve">. ayı haricinde kampanya sonlandığı durumda o fatura dönemi için silinir. </w:t>
      </w:r>
    </w:p>
    <w:p w:rsidR="007F6357" w:rsidRPr="007F6357" w:rsidRDefault="007F6357" w:rsidP="007F6357">
      <w:pPr>
        <w:pStyle w:val="ListParagraph"/>
        <w:numPr>
          <w:ilvl w:val="0"/>
          <w:numId w:val="1"/>
        </w:numPr>
        <w:rPr>
          <w:rFonts w:ascii="Vodafone Rg" w:hAnsi="Vodafone Rg"/>
        </w:rPr>
      </w:pPr>
      <w:r>
        <w:t>Yeni kampanyada sadece ilk 3</w:t>
      </w:r>
      <w:r>
        <w:t>. ayın sonunda cayma bedelsiz çıkış hakkı bulunmaktadır</w:t>
      </w:r>
    </w:p>
    <w:p w:rsidR="007F6357" w:rsidRPr="007F6357" w:rsidRDefault="007F6357" w:rsidP="007F6357">
      <w:pPr>
        <w:pStyle w:val="ListParagraph"/>
        <w:numPr>
          <w:ilvl w:val="0"/>
          <w:numId w:val="1"/>
        </w:numPr>
        <w:rPr>
          <w:rFonts w:ascii="Vodafone Rg" w:hAnsi="Vodafone Rg"/>
        </w:rPr>
      </w:pPr>
      <w:r>
        <w:t xml:space="preserve">Her kampanya için cayma bedeli, kampanya başlangıcından itibaren alınan indirim/faydalar ile kampanya boyunca ödenmesi taahhüt edilen tutarın kalan kısmından düşük olanı alınarak hesaplanır. </w:t>
      </w:r>
    </w:p>
    <w:p w:rsidR="007F6357" w:rsidRPr="007F6357" w:rsidRDefault="007F6357" w:rsidP="007F6357">
      <w:pPr>
        <w:pStyle w:val="ListParagraph"/>
        <w:numPr>
          <w:ilvl w:val="0"/>
          <w:numId w:val="1"/>
        </w:numPr>
        <w:rPr>
          <w:rFonts w:ascii="Vodafone Rg" w:hAnsi="Vodafone Rg"/>
        </w:rPr>
      </w:pPr>
      <w:r>
        <w:t xml:space="preserve">Bu kampanya mevcut ve planlanan taahhütlü kampanyalarla birlikte kullanılamaz. Taahhütlü diğer kampanyalara girmek isteyen müşterilerin bu kampanyadan çıkması gerekmektedir. </w:t>
      </w:r>
    </w:p>
    <w:p w:rsidR="007F6357" w:rsidRPr="007F6357" w:rsidRDefault="007F6357" w:rsidP="007F6357">
      <w:pPr>
        <w:pStyle w:val="ListParagraph"/>
        <w:numPr>
          <w:ilvl w:val="0"/>
          <w:numId w:val="1"/>
        </w:numPr>
        <w:rPr>
          <w:rFonts w:ascii="Vodafone Rg" w:hAnsi="Vodafone Rg"/>
        </w:rPr>
      </w:pPr>
      <w:r>
        <w:lastRenderedPageBreak/>
        <w:t xml:space="preserve">Kampanyadan yararlanmak isteyen abonelerin Vodafone'un Kurumsal Güvenlik birimi tarafından belirlenen kara / gri listede, kredi kartı kara listede, cep aran kara listede yer almaması gerekmektedir. </w:t>
      </w:r>
    </w:p>
    <w:p w:rsidR="007F6357" w:rsidRPr="007F6357" w:rsidRDefault="007F6357" w:rsidP="007F6357">
      <w:pPr>
        <w:pStyle w:val="ListParagraph"/>
        <w:numPr>
          <w:ilvl w:val="0"/>
          <w:numId w:val="1"/>
        </w:numPr>
        <w:rPr>
          <w:rFonts w:ascii="Vodafone Rg" w:hAnsi="Vodafone Rg"/>
        </w:rPr>
      </w:pPr>
      <w:r>
        <w:t xml:space="preserve">Kampanya dahilinde abonelerin sunulan hakların 3. şahıslara trafik satışı yaparak kullanmalarına izin verilmez. FCT (sabit terminal) ve şirket santrallerinde toplu kullanım amaçlı olarak kullanımına izin verilmez. </w:t>
      </w:r>
    </w:p>
    <w:p w:rsidR="007F6357" w:rsidRPr="007F6357" w:rsidRDefault="007F6357" w:rsidP="007F6357">
      <w:pPr>
        <w:pStyle w:val="ListParagraph"/>
        <w:numPr>
          <w:ilvl w:val="0"/>
          <w:numId w:val="1"/>
        </w:numPr>
        <w:rPr>
          <w:rFonts w:ascii="Vodafone Rg" w:hAnsi="Vodafone Rg"/>
        </w:rPr>
      </w:pPr>
      <w:r>
        <w:t xml:space="preserve">Bu kampanya cihaz kampanyalarıyla birlikte kullanılabilir.Cihaz kampanyalarına girmek isteyen müşterilerin </w:t>
      </w:r>
      <w:r>
        <w:t>bu kampanyadan çıkması gerekmez.</w:t>
      </w:r>
    </w:p>
    <w:p w:rsidR="007F6357" w:rsidRPr="007F6357" w:rsidRDefault="007F6357" w:rsidP="007F6357">
      <w:pPr>
        <w:pStyle w:val="ListParagraph"/>
        <w:numPr>
          <w:ilvl w:val="0"/>
          <w:numId w:val="1"/>
        </w:numPr>
        <w:rPr>
          <w:rFonts w:ascii="Vodafone Rg" w:hAnsi="Vodafone Rg"/>
        </w:rPr>
      </w:pPr>
      <w:r>
        <w:t xml:space="preserve">Vodafone kampanyayı istediği tarihte sona erdirme hakkını saklı tutar. </w:t>
      </w:r>
    </w:p>
    <w:p w:rsidR="007F6357" w:rsidRPr="007F6357" w:rsidRDefault="007F6357" w:rsidP="007F6357">
      <w:pPr>
        <w:pStyle w:val="ListParagraph"/>
        <w:numPr>
          <w:ilvl w:val="0"/>
          <w:numId w:val="1"/>
        </w:numPr>
        <w:rPr>
          <w:rFonts w:ascii="Vodafone Rg" w:hAnsi="Vodafone Rg"/>
        </w:rPr>
      </w:pPr>
      <w:r>
        <w:t xml:space="preserve">Vodafone'un kampanya ve tarife özelliklerinde ve ücretlendirmesinde Bilgi Teknolojileri ve İletişim Kurumu tarafından belirlenen usullere uygun olarak değişiklik yapma hakkı saklıdır. </w:t>
      </w:r>
    </w:p>
    <w:p w:rsidR="007F6357" w:rsidRPr="007F6357" w:rsidRDefault="007F6357" w:rsidP="007F6357">
      <w:pPr>
        <w:pStyle w:val="ListParagraph"/>
        <w:numPr>
          <w:ilvl w:val="0"/>
          <w:numId w:val="1"/>
        </w:numPr>
        <w:rPr>
          <w:rFonts w:ascii="Vodafone Rg" w:hAnsi="Vodafone Rg"/>
        </w:rPr>
      </w:pPr>
      <w:r>
        <w:t>Bu kampanyadan aylık tarife ücreti, ek paket ücretleri, paket aşım ücretleri vb. gibi Vodafone tarafından belirlenen kriterlere uygun Vodafone faturalı bireysel hat kullanıcıları yararlanabilir.</w:t>
      </w:r>
    </w:p>
    <w:sectPr w:rsidR="007F6357" w:rsidRPr="007F63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57" w:rsidRDefault="007F6357" w:rsidP="007F6357">
      <w:pPr>
        <w:spacing w:after="0" w:line="240" w:lineRule="auto"/>
      </w:pPr>
      <w:r>
        <w:separator/>
      </w:r>
    </w:p>
  </w:endnote>
  <w:endnote w:type="continuationSeparator" w:id="0">
    <w:p w:rsidR="007F6357" w:rsidRDefault="007F6357" w:rsidP="007F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57" w:rsidRDefault="007F6357">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52b24dda91d072eda8760374"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6357" w:rsidRPr="007F6357" w:rsidRDefault="007F6357" w:rsidP="007F6357">
                          <w:pPr>
                            <w:spacing w:after="0"/>
                            <w:rPr>
                              <w:rFonts w:ascii="Calibri" w:hAnsi="Calibri" w:cs="Calibri"/>
                              <w:color w:val="000000"/>
                              <w:sz w:val="14"/>
                            </w:rPr>
                          </w:pPr>
                          <w:r w:rsidRPr="007F63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b24dda91d072eda8760374" o:spid="_x0000_s1026" type="#_x0000_t202" alt="{&quot;HashCode&quot;:56042787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" o:allowincell="f" filled="f" stroked="f" strokeweight=".5pt">
              <v:fill o:detectmouseclick="t"/>
              <v:textbox inset="20pt,0,,0">
                <w:txbxContent>
                  <w:p w:rsidR="007F6357" w:rsidRPr="007F6357" w:rsidRDefault="007F6357" w:rsidP="007F6357">
                    <w:pPr>
                      <w:spacing w:after="0"/>
                      <w:rPr>
                        <w:rFonts w:ascii="Calibri" w:hAnsi="Calibri" w:cs="Calibri"/>
                        <w:color w:val="000000"/>
                        <w:sz w:val="14"/>
                      </w:rPr>
                    </w:pPr>
                    <w:r w:rsidRPr="007F635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57" w:rsidRDefault="007F6357" w:rsidP="007F6357">
      <w:pPr>
        <w:spacing w:after="0" w:line="240" w:lineRule="auto"/>
      </w:pPr>
      <w:r>
        <w:separator/>
      </w:r>
    </w:p>
  </w:footnote>
  <w:footnote w:type="continuationSeparator" w:id="0">
    <w:p w:rsidR="007F6357" w:rsidRDefault="007F6357" w:rsidP="007F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B2618"/>
    <w:multiLevelType w:val="hybridMultilevel"/>
    <w:tmpl w:val="58A8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4A"/>
    <w:rsid w:val="001B3C25"/>
    <w:rsid w:val="002741D6"/>
    <w:rsid w:val="00457D4A"/>
    <w:rsid w:val="00693CF8"/>
    <w:rsid w:val="007F6357"/>
    <w:rsid w:val="00A65013"/>
    <w:rsid w:val="00CE07BC"/>
    <w:rsid w:val="00E517EC"/>
    <w:rsid w:val="00F82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F1DB"/>
  <w15:chartTrackingRefBased/>
  <w15:docId w15:val="{E11CA7D4-494B-4445-BCCD-08E6CA1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57"/>
    <w:pPr>
      <w:ind w:left="720"/>
      <w:contextualSpacing/>
    </w:pPr>
  </w:style>
  <w:style w:type="paragraph" w:styleId="Header">
    <w:name w:val="header"/>
    <w:basedOn w:val="Normal"/>
    <w:link w:val="HeaderChar"/>
    <w:uiPriority w:val="99"/>
    <w:unhideWhenUsed/>
    <w:rsid w:val="007F6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6357"/>
  </w:style>
  <w:style w:type="paragraph" w:styleId="Footer">
    <w:name w:val="footer"/>
    <w:basedOn w:val="Normal"/>
    <w:link w:val="FooterChar"/>
    <w:uiPriority w:val="99"/>
    <w:unhideWhenUsed/>
    <w:rsid w:val="007F6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Ayca, Vodafone</dc:creator>
  <cp:keywords/>
  <dc:description/>
  <cp:lastModifiedBy>Tekin, Ayca, Vodafone</cp:lastModifiedBy>
  <cp:revision>3</cp:revision>
  <dcterms:created xsi:type="dcterms:W3CDTF">2022-06-29T07:42:00Z</dcterms:created>
  <dcterms:modified xsi:type="dcterms:W3CDTF">2022-06-29T07:42:00Z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2022-06-29T07:42:38Z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30709376-e63a-4989-b0f5-ce9ac8601bbb</vt:lpwstr>
  </property>
  <property fmtid="{D5CDD505-2E9C-101B-9397-08002B2CF9AE}" pid="8" name="MSIP_Label_0359f705-2ba0-454b-9cfc-6ce5bcaac040_ContentBits">
    <vt:lpwstr>2</vt:lpwstr>
  </property>
</Properties>
</file>